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outlineLvl w:val="0"/>
        <w:rPr>
          <w:rFonts w:ascii="Georgia" w:eastAsia="굴림" w:hAnsi="Georgia" w:cs="Helvetica"/>
          <w:color w:val="000000"/>
          <w:kern w:val="36"/>
          <w:sz w:val="57"/>
          <w:szCs w:val="57"/>
          <w:lang/>
        </w:rPr>
      </w:pPr>
      <w:proofErr w:type="spellStart"/>
      <w:r w:rsidRPr="006E57D6">
        <w:rPr>
          <w:rFonts w:ascii="Georgia" w:eastAsia="굴림" w:hAnsi="Georgia" w:cs="Helvetica"/>
          <w:color w:val="000000"/>
          <w:kern w:val="36"/>
          <w:sz w:val="57"/>
          <w:szCs w:val="57"/>
          <w:lang/>
        </w:rPr>
        <w:t>Nutanix</w:t>
      </w:r>
      <w:proofErr w:type="spellEnd"/>
      <w:r w:rsidRPr="006E57D6">
        <w:rPr>
          <w:rFonts w:ascii="Georgia" w:eastAsia="굴림" w:hAnsi="Georgia" w:cs="Helvetica"/>
          <w:color w:val="000000"/>
          <w:kern w:val="36"/>
          <w:sz w:val="57"/>
          <w:szCs w:val="57"/>
          <w:lang/>
        </w:rPr>
        <w:t xml:space="preserve"> Beating EMC, Says It's Cutting Customer IT Costs 62%</w:t>
      </w:r>
    </w:p>
    <w:p w:rsidR="006E57D6" w:rsidRPr="006E57D6" w:rsidRDefault="006E57D6" w:rsidP="006E57D6">
      <w:pPr>
        <w:widowControl/>
        <w:wordWrap/>
        <w:autoSpaceDE/>
        <w:autoSpaceDN/>
        <w:jc w:val="left"/>
        <w:rPr>
          <w:rFonts w:ascii="Helvetica" w:eastAsia="굴림" w:hAnsi="Helvetica" w:cs="Helvetica"/>
          <w:color w:val="000000"/>
          <w:kern w:val="0"/>
          <w:sz w:val="21"/>
          <w:szCs w:val="21"/>
          <w:lang/>
        </w:rPr>
      </w:pPr>
      <w:r>
        <w:rPr>
          <w:rFonts w:ascii="Helvetica" w:eastAsia="굴림" w:hAnsi="Helvetica" w:cs="Helvetica"/>
          <w:noProof/>
          <w:vanish/>
          <w:color w:val="000000"/>
          <w:kern w:val="0"/>
          <w:sz w:val="21"/>
          <w:szCs w:val="21"/>
        </w:rPr>
        <w:drawing>
          <wp:inline distT="0" distB="0" distL="0" distR="0">
            <wp:extent cx="152400" cy="152400"/>
            <wp:effectExtent l="19050" t="0" r="0" b="0"/>
            <wp:docPr id="1" name="그림 1" descr="http://i.forbesimg.com/assets/img/loading_spinners/16px_on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forbesimg.com/assets/img/loading_spinners/16px_on_transparen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Buying from a startup seems pretty risky — especially when there are well-established publicly-traded technology companies like </w:t>
      </w:r>
      <w:hyperlink r:id="rId5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EMC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</w:t>
      </w:r>
      <w:hyperlink r:id="rId6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EMC -0.2%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, </w:t>
      </w:r>
      <w:hyperlink r:id="rId7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NetApp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</w:t>
      </w:r>
      <w:hyperlink r:id="rId8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NTAP -1.69%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, and </w:t>
      </w:r>
      <w:hyperlink r:id="rId9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VMWare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</w:t>
      </w:r>
      <w:hyperlink r:id="rId10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VMW -1.08%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 who can sell you stuff. Why would a big company take the risk of switching to a startup’s product?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The answer is that if the startup’s product has been shown to work in other big companies and it saves companies 20% on the cost of buying it and another 50% on the cost of running it, sticking with the big company’s product might be a bigger risk.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— a San  Jose, Calif.- based maker of “converged infrastructure” that combines the functions of servers, storage, and networking – has grown at a 200% annual rate by saving customers time and money.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According to my November 20 interview with 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 SVP of Product and Marketing, Howard Ting, “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beats EMC in many large enterprise accounts. We recently won the </w:t>
      </w:r>
      <w:hyperlink r:id="rId11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business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of a major biotechnology company that previously bought from EMC. The company wanted to reduce its IT headcount 15% and get more agile while lowering costs. We saved the company 15% to 20% over EMC in capital expenditures and 40% to 50% on operating expenditures.”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EMC spokesperson Dave Farmer does not agree. As Farmer explained, “It’s a rare day when we bump into 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in an EMC customer account. It’s also impossible to debate ROI claims absent specifics. Sky’s pretty much the limit on the meaning of ‘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versus EMC’. They’re quite likely targeting companies carrying earlier generation EMC technology.”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began selling its product in 2011 and has since grown to over 800 employees, disclosed a “$200 million bookings run rate” and a whopping $312 million in </w:t>
      </w:r>
      <w:hyperlink r:id="rId12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total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</w:t>
      </w:r>
      <w:hyperlink r:id="rId13" w:history="1">
        <w:r w:rsidRPr="006E57D6">
          <w:rPr>
            <w:rFonts w:ascii="Helvetica" w:eastAsia="굴림" w:hAnsi="Helvetica" w:cs="Helvetica"/>
            <w:color w:val="428BCA"/>
            <w:kern w:val="0"/>
            <w:sz w:val="21"/>
            <w:lang/>
          </w:rPr>
          <w:t>total</w:t>
        </w:r>
      </w:hyperlink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capital raised — including a Series E round in August 2014 totaling $140 million that valued the company at $2 billion. Its clients include Airbus, Amgen, China Merchant Bank, ConocoPhillips, Covance, eBay, Honda, McKesson, Total SA, Toyota, and Yahoo! Japan.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Ting believes that 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is just getting started in its conquest of a huge market that’s growing quickly. As he said, “IDC estimates that the market for converged infrastructure is $15 billion and it grew 60% in the last quarter. We save big companies tens of millions of dollars in total cost of ownership (a national mortgage bank lowered its capital expenditures 43% and its total cost of ownership 62% over five years compared to 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VBlock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— a converged product sold through VCE, an EMC/Cisco joint venture.)”</w:t>
      </w:r>
    </w:p>
    <w:p w:rsidR="006E57D6" w:rsidRPr="006E57D6" w:rsidRDefault="006E57D6" w:rsidP="006E57D6">
      <w:pPr>
        <w:widowControl/>
        <w:wordWrap/>
        <w:autoSpaceDE/>
        <w:autoSpaceDN/>
        <w:spacing w:after="150"/>
        <w:jc w:val="left"/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</w:pPr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Ting also believes that 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Nutanix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helps customers in more qualitative ways. ”We make them more nimble — it takes 15 minutes to install our product to 14 days for </w:t>
      </w:r>
      <w:proofErr w:type="spellStart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>VBlock</w:t>
      </w:r>
      <w:proofErr w:type="spellEnd"/>
      <w:r w:rsidRPr="006E57D6">
        <w:rPr>
          <w:rFonts w:ascii="Helvetica" w:eastAsia="굴림" w:hAnsi="Helvetica" w:cs="Helvetica"/>
          <w:color w:val="3C3C3C"/>
          <w:kern w:val="0"/>
          <w:sz w:val="21"/>
          <w:szCs w:val="21"/>
          <w:lang/>
        </w:rPr>
        <w:t xml:space="preserve"> and enable them to add storage capacity in smaller increments — rather than the three year increments that EMC requires them to buy. We are in the second inning of this game,” said Ting.</w:t>
      </w:r>
    </w:p>
    <w:p w:rsidR="006E57D6" w:rsidRDefault="006E57D6" w:rsidP="006E57D6">
      <w:pPr>
        <w:pStyle w:val="a4"/>
        <w:rPr>
          <w:rFonts w:ascii="Helvetica" w:hAnsi="Helvetica" w:cs="Helvetica"/>
          <w:sz w:val="21"/>
          <w:szCs w:val="21"/>
          <w:lang/>
        </w:rPr>
      </w:pPr>
      <w:r>
        <w:rPr>
          <w:rFonts w:ascii="Helvetica" w:hAnsi="Helvetica" w:cs="Helvetica"/>
          <w:sz w:val="21"/>
          <w:szCs w:val="21"/>
          <w:lang/>
        </w:rPr>
        <w:t xml:space="preserve">How hard would it be for </w:t>
      </w:r>
      <w:proofErr w:type="spellStart"/>
      <w:r>
        <w:rPr>
          <w:rFonts w:ascii="Helvetica" w:hAnsi="Helvetica" w:cs="Helvetica"/>
          <w:sz w:val="21"/>
          <w:szCs w:val="21"/>
          <w:lang/>
        </w:rPr>
        <w:t>Nutanix’s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 rivals to reverse engineer its products? Ting said, “We run on commodity servers — it’s our software that would be difficult for rivals to replicate. And our secret sauce is our employees. We have top engineers from </w:t>
      </w:r>
      <w:proofErr w:type="spellStart"/>
      <w:r>
        <w:rPr>
          <w:rFonts w:ascii="Helvetica" w:hAnsi="Helvetica" w:cs="Helvetica"/>
          <w:sz w:val="21"/>
          <w:szCs w:val="21"/>
          <w:lang/>
        </w:rPr>
        <w:t>Facebook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, Google, LinkedIn, VMware, Citrix, Microsoft, and Oracle. Those kinds of engineers attract other great people — they would never go to work for EMC or other legacy storage companies. We are offering </w:t>
      </w:r>
      <w:proofErr w:type="spellStart"/>
      <w:r>
        <w:rPr>
          <w:rFonts w:ascii="Helvetica" w:hAnsi="Helvetica" w:cs="Helvetica"/>
          <w:sz w:val="21"/>
          <w:szCs w:val="21"/>
          <w:lang/>
        </w:rPr>
        <w:t>Webscale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 to the masses.”</w:t>
      </w:r>
    </w:p>
    <w:p w:rsidR="008767AC" w:rsidRPr="006E57D6" w:rsidRDefault="006E57D6" w:rsidP="00D939D7">
      <w:pPr>
        <w:pStyle w:val="a4"/>
        <w:rPr>
          <w:lang/>
        </w:rPr>
      </w:pPr>
      <w:r>
        <w:rPr>
          <w:rFonts w:ascii="Helvetica" w:hAnsi="Helvetica" w:cs="Helvetica"/>
          <w:sz w:val="21"/>
          <w:szCs w:val="21"/>
          <w:lang/>
        </w:rPr>
        <w:t xml:space="preserve">Are </w:t>
      </w:r>
      <w:proofErr w:type="spellStart"/>
      <w:r>
        <w:rPr>
          <w:rFonts w:ascii="Helvetica" w:hAnsi="Helvetica" w:cs="Helvetica"/>
          <w:sz w:val="21"/>
          <w:szCs w:val="21"/>
          <w:lang/>
        </w:rPr>
        <w:t>Nutanix’s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 claims valid? According to a November 5 </w:t>
      </w:r>
      <w:r>
        <w:rPr>
          <w:rStyle w:val="a5"/>
          <w:rFonts w:ascii="Helvetica" w:hAnsi="Helvetica" w:cs="Helvetica"/>
          <w:sz w:val="21"/>
          <w:szCs w:val="21"/>
          <w:lang/>
        </w:rPr>
        <w:t>Reuters</w:t>
      </w:r>
      <w:r>
        <w:rPr>
          <w:rFonts w:ascii="Helvetica" w:hAnsi="Helvetica" w:cs="Helvetica"/>
          <w:sz w:val="21"/>
          <w:szCs w:val="21"/>
          <w:lang/>
        </w:rPr>
        <w:t xml:space="preserve"> interview by CEO </w:t>
      </w:r>
      <w:proofErr w:type="spellStart"/>
      <w:r>
        <w:rPr>
          <w:rFonts w:ascii="Helvetica" w:hAnsi="Helvetica" w:cs="Helvetica"/>
          <w:sz w:val="21"/>
          <w:szCs w:val="21"/>
          <w:lang/>
        </w:rPr>
        <w:t>Dheeraj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  <w:lang/>
        </w:rPr>
        <w:t>Pandey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, we could find out more in 2015 when the company goes public. </w:t>
      </w:r>
      <w:proofErr w:type="spellStart"/>
      <w:r>
        <w:rPr>
          <w:rFonts w:ascii="Helvetica" w:hAnsi="Helvetica" w:cs="Helvetica"/>
          <w:sz w:val="21"/>
          <w:szCs w:val="21"/>
          <w:lang/>
        </w:rPr>
        <w:t>Pandey</w:t>
      </w:r>
      <w:proofErr w:type="spellEnd"/>
      <w:r>
        <w:rPr>
          <w:rFonts w:ascii="Helvetica" w:hAnsi="Helvetica" w:cs="Helvetica"/>
          <w:sz w:val="21"/>
          <w:szCs w:val="21"/>
          <w:lang/>
        </w:rPr>
        <w:t xml:space="preserve"> said an IPO will happen “in the next three to four quarters assuming that macro is good.”</w:t>
      </w:r>
    </w:p>
    <w:sectPr w:rsidR="008767AC" w:rsidRPr="006E57D6" w:rsidSect="008767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E57D6"/>
    <w:rsid w:val="00020A6E"/>
    <w:rsid w:val="00043465"/>
    <w:rsid w:val="000949CF"/>
    <w:rsid w:val="000E3C5F"/>
    <w:rsid w:val="000F2707"/>
    <w:rsid w:val="00106BE5"/>
    <w:rsid w:val="00115552"/>
    <w:rsid w:val="001703B0"/>
    <w:rsid w:val="001854F4"/>
    <w:rsid w:val="001C1C93"/>
    <w:rsid w:val="0020275B"/>
    <w:rsid w:val="0020435F"/>
    <w:rsid w:val="00215171"/>
    <w:rsid w:val="002A0809"/>
    <w:rsid w:val="002B7500"/>
    <w:rsid w:val="0030257E"/>
    <w:rsid w:val="0031199E"/>
    <w:rsid w:val="00327708"/>
    <w:rsid w:val="0037513F"/>
    <w:rsid w:val="00376049"/>
    <w:rsid w:val="00394F4A"/>
    <w:rsid w:val="003C241F"/>
    <w:rsid w:val="004023F4"/>
    <w:rsid w:val="00437FAF"/>
    <w:rsid w:val="0045135A"/>
    <w:rsid w:val="00492BDA"/>
    <w:rsid w:val="00494A78"/>
    <w:rsid w:val="004C5C6D"/>
    <w:rsid w:val="004C5EBC"/>
    <w:rsid w:val="004E14E3"/>
    <w:rsid w:val="005079C9"/>
    <w:rsid w:val="00553086"/>
    <w:rsid w:val="00606B75"/>
    <w:rsid w:val="00652901"/>
    <w:rsid w:val="00657D5C"/>
    <w:rsid w:val="00661B96"/>
    <w:rsid w:val="006C2CEC"/>
    <w:rsid w:val="006C5FF3"/>
    <w:rsid w:val="006C6420"/>
    <w:rsid w:val="006D0D09"/>
    <w:rsid w:val="006E1AE7"/>
    <w:rsid w:val="006E57D6"/>
    <w:rsid w:val="00723368"/>
    <w:rsid w:val="007627EC"/>
    <w:rsid w:val="007721C6"/>
    <w:rsid w:val="007775BF"/>
    <w:rsid w:val="007907E1"/>
    <w:rsid w:val="007D23BC"/>
    <w:rsid w:val="00825487"/>
    <w:rsid w:val="00832D6D"/>
    <w:rsid w:val="00845058"/>
    <w:rsid w:val="008630E8"/>
    <w:rsid w:val="008767AC"/>
    <w:rsid w:val="00882D95"/>
    <w:rsid w:val="008866C5"/>
    <w:rsid w:val="00886D3E"/>
    <w:rsid w:val="00890033"/>
    <w:rsid w:val="008B3191"/>
    <w:rsid w:val="008C5985"/>
    <w:rsid w:val="008C6ACE"/>
    <w:rsid w:val="00924DE2"/>
    <w:rsid w:val="009736FB"/>
    <w:rsid w:val="00991083"/>
    <w:rsid w:val="009A59D9"/>
    <w:rsid w:val="00A04071"/>
    <w:rsid w:val="00A152AA"/>
    <w:rsid w:val="00A34A92"/>
    <w:rsid w:val="00A6733E"/>
    <w:rsid w:val="00A67968"/>
    <w:rsid w:val="00A96C0D"/>
    <w:rsid w:val="00AC7374"/>
    <w:rsid w:val="00B12641"/>
    <w:rsid w:val="00B60C99"/>
    <w:rsid w:val="00B70EFC"/>
    <w:rsid w:val="00B80B1D"/>
    <w:rsid w:val="00B85A1F"/>
    <w:rsid w:val="00BA7B28"/>
    <w:rsid w:val="00BB441C"/>
    <w:rsid w:val="00C37AEF"/>
    <w:rsid w:val="00C5569C"/>
    <w:rsid w:val="00C81EBC"/>
    <w:rsid w:val="00C82DB6"/>
    <w:rsid w:val="00C92599"/>
    <w:rsid w:val="00D41322"/>
    <w:rsid w:val="00D46A10"/>
    <w:rsid w:val="00D73E81"/>
    <w:rsid w:val="00D742A8"/>
    <w:rsid w:val="00D81C4C"/>
    <w:rsid w:val="00D83135"/>
    <w:rsid w:val="00D939D7"/>
    <w:rsid w:val="00D978D8"/>
    <w:rsid w:val="00DA7FD1"/>
    <w:rsid w:val="00DC074C"/>
    <w:rsid w:val="00DE1434"/>
    <w:rsid w:val="00E033F0"/>
    <w:rsid w:val="00E07D79"/>
    <w:rsid w:val="00E133A4"/>
    <w:rsid w:val="00E1420D"/>
    <w:rsid w:val="00E216DD"/>
    <w:rsid w:val="00E240D1"/>
    <w:rsid w:val="00E40724"/>
    <w:rsid w:val="00E4575C"/>
    <w:rsid w:val="00E721CB"/>
    <w:rsid w:val="00E97A0A"/>
    <w:rsid w:val="00F06C62"/>
    <w:rsid w:val="00F270D1"/>
    <w:rsid w:val="00F500CA"/>
    <w:rsid w:val="00F63EB5"/>
    <w:rsid w:val="00F90B71"/>
    <w:rsid w:val="00F94B66"/>
    <w:rsid w:val="00FA643F"/>
    <w:rsid w:val="00FB3F6F"/>
    <w:rsid w:val="00FC60A3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6E57D6"/>
    <w:pPr>
      <w:widowControl/>
      <w:wordWrap/>
      <w:autoSpaceDE/>
      <w:autoSpaceDN/>
      <w:spacing w:before="300" w:after="150"/>
      <w:jc w:val="left"/>
      <w:outlineLvl w:val="0"/>
    </w:pPr>
    <w:rPr>
      <w:rFonts w:ascii="Georgia" w:eastAsia="굴림" w:hAnsi="Georgia" w:cs="굴림"/>
      <w:color w:val="000000"/>
      <w:kern w:val="36"/>
      <w:sz w:val="57"/>
      <w:szCs w:val="5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E57D6"/>
    <w:rPr>
      <w:rFonts w:ascii="Georgia" w:eastAsia="굴림" w:hAnsi="Georgia" w:cs="굴림"/>
      <w:color w:val="000000"/>
      <w:kern w:val="36"/>
      <w:sz w:val="57"/>
      <w:szCs w:val="57"/>
    </w:rPr>
  </w:style>
  <w:style w:type="character" w:styleId="a3">
    <w:name w:val="Hyperlink"/>
    <w:basedOn w:val="a0"/>
    <w:uiPriority w:val="99"/>
    <w:semiHidden/>
    <w:unhideWhenUsed/>
    <w:rsid w:val="006E57D6"/>
    <w:rPr>
      <w:strike w:val="0"/>
      <w:dstrike w:val="0"/>
      <w:color w:val="428BCA"/>
      <w:u w:val="none"/>
      <w:effect w:val="none"/>
    </w:rPr>
  </w:style>
  <w:style w:type="paragraph" w:styleId="a4">
    <w:name w:val="Normal (Web)"/>
    <w:basedOn w:val="a"/>
    <w:uiPriority w:val="99"/>
    <w:unhideWhenUsed/>
    <w:rsid w:val="006E57D6"/>
    <w:pPr>
      <w:widowControl/>
      <w:wordWrap/>
      <w:autoSpaceDE/>
      <w:autoSpaceDN/>
      <w:spacing w:after="150"/>
      <w:jc w:val="left"/>
    </w:pPr>
    <w:rPr>
      <w:rFonts w:ascii="굴림" w:eastAsia="굴림" w:hAnsi="굴림" w:cs="굴림"/>
      <w:color w:val="3C3C3C"/>
      <w:kern w:val="0"/>
      <w:sz w:val="24"/>
      <w:szCs w:val="24"/>
    </w:rPr>
  </w:style>
  <w:style w:type="character" w:customStyle="1" w:styleId="ticker">
    <w:name w:val="ticker"/>
    <w:basedOn w:val="a0"/>
    <w:rsid w:val="006E57D6"/>
  </w:style>
  <w:style w:type="character" w:customStyle="1" w:styleId="optionfollow">
    <w:name w:val="option_follow"/>
    <w:basedOn w:val="a0"/>
    <w:rsid w:val="006E57D6"/>
  </w:style>
  <w:style w:type="character" w:customStyle="1" w:styleId="text12">
    <w:name w:val="text12"/>
    <w:basedOn w:val="a0"/>
    <w:rsid w:val="006E57D6"/>
    <w:rPr>
      <w:strike w:val="0"/>
      <w:dstrike w:val="0"/>
      <w:u w:val="none"/>
      <w:effect w:val="none"/>
    </w:rPr>
  </w:style>
  <w:style w:type="character" w:customStyle="1" w:styleId="optionfollowing2">
    <w:name w:val="option_following2"/>
    <w:basedOn w:val="a0"/>
    <w:rsid w:val="006E57D6"/>
    <w:rPr>
      <w:vanish/>
      <w:webHidden w:val="0"/>
      <w:specVanish w:val="0"/>
    </w:rPr>
  </w:style>
  <w:style w:type="character" w:customStyle="1" w:styleId="text13">
    <w:name w:val="text13"/>
    <w:basedOn w:val="a0"/>
    <w:rsid w:val="006E57D6"/>
    <w:rPr>
      <w:strike w:val="0"/>
      <w:dstrike w:val="0"/>
      <w:u w:val="none"/>
      <w:effect w:val="none"/>
    </w:rPr>
  </w:style>
  <w:style w:type="character" w:customStyle="1" w:styleId="optionunfollow2">
    <w:name w:val="option_unfollow2"/>
    <w:basedOn w:val="a0"/>
    <w:rsid w:val="006E57D6"/>
    <w:rPr>
      <w:vanish/>
      <w:webHidden w:val="0"/>
      <w:specVanish w:val="0"/>
    </w:rPr>
  </w:style>
  <w:style w:type="character" w:customStyle="1" w:styleId="text14">
    <w:name w:val="text14"/>
    <w:basedOn w:val="a0"/>
    <w:rsid w:val="006E57D6"/>
    <w:rPr>
      <w:u w:val="single"/>
    </w:rPr>
  </w:style>
  <w:style w:type="character" w:customStyle="1" w:styleId="wrapper5">
    <w:name w:val="wrapper5"/>
    <w:basedOn w:val="a0"/>
    <w:rsid w:val="006E57D6"/>
  </w:style>
  <w:style w:type="character" w:customStyle="1" w:styleId="change3">
    <w:name w:val="change3"/>
    <w:basedOn w:val="a0"/>
    <w:rsid w:val="006E57D6"/>
  </w:style>
  <w:style w:type="character" w:styleId="a5">
    <w:name w:val="Emphasis"/>
    <w:basedOn w:val="a0"/>
    <w:uiPriority w:val="20"/>
    <w:qFormat/>
    <w:rsid w:val="006E5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90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893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companies/netapp/" TargetMode="External"/><Relationship Id="rId13" Type="http://schemas.openxmlformats.org/officeDocument/2006/relationships/hyperlink" Target="http://www.forbes.com/companies/tot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bes.com/companies/netapp/" TargetMode="External"/><Relationship Id="rId12" Type="http://schemas.openxmlformats.org/officeDocument/2006/relationships/hyperlink" Target="http://www.forbes.com/companies/to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es.com/companies/emc/" TargetMode="External"/><Relationship Id="rId11" Type="http://schemas.openxmlformats.org/officeDocument/2006/relationships/hyperlink" Target="http://www.forbes.com/business/" TargetMode="External"/><Relationship Id="rId5" Type="http://schemas.openxmlformats.org/officeDocument/2006/relationships/hyperlink" Target="http://www.forbes.com/companies/em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rbes.com/companies/vmware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orbes.com/companies/vmwa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3506</Characters>
  <Application>Microsoft Office Word</Application>
  <DocSecurity>0</DocSecurity>
  <Lines>29</Lines>
  <Paragraphs>8</Paragraphs>
  <ScaleCrop>false</ScaleCrop>
  <Company>Hewlett-Packard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김형덕</dc:creator>
  <cp:lastModifiedBy>김형덕</cp:lastModifiedBy>
  <cp:revision>2</cp:revision>
  <dcterms:created xsi:type="dcterms:W3CDTF">2014-12-02T02:42:00Z</dcterms:created>
  <dcterms:modified xsi:type="dcterms:W3CDTF">2014-12-02T02:48:00Z</dcterms:modified>
</cp:coreProperties>
</file>